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drawing>
          <wp:inline distT="0" distB="0" distL="0" distR="0">
            <wp:extent cx="5905500" cy="76485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764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pStyle w:val="Heading1"/>
        <w:pBdr>
          <w:bottom w:val="single" w:color="C89B3C" w:sz="10" w:space="4"/>
        </w:pBdr>
        <w:spacing w:after="200" w:before="420"/>
      </w:pPr>
      <w:r>
        <w:rPr>
          <w:b/>
          <w:bCs/>
          <w:color w:val="1B3A6B"/>
          <w:sz w:val="30"/>
          <w:szCs w:val="30"/>
        </w:rPr>
        <w:t xml:space="preserve">Pourquoi les natifs semblent parler vite (mais ne le font pas)</w:t>
      </w:r>
    </w:p>
    <w:p>
      <w:pPr>
        <w:spacing w:after="110"/>
      </w:pPr>
      <w:r>
        <w:rPr>
          <w:color w:val="2B2B2B"/>
        </w:rPr>
        <w:t xml:space="preserve">Vérité clé : les locuteurs natifs ne parlent pas vite — ils parlent de façon fluide et rythmée. L'anglais est une langue à rythme accentuel (stress-timed), alors que le français est à rythme syllabique (syllable-timed). C'est précisément pourquoi les francophones ont du mal.</w:t>
      </w:r>
    </w:p>
    <w:tbl>
      <w:tblPr>
        <w:tblW w:type="pct" w:w="100%"/>
        <w:tblBorders>
          <w:top w:val="single" w:color="C89B3C" w:sz="4"/>
          <w:left w:val="single" w:color="C89B3C" w:sz="4"/>
          <w:bottom w:val="single" w:color="C89B3C" w:sz="4"/>
          <w:right w:val="single" w:color="C89B3C" w:sz="4"/>
          <w:insideH w:val="none"/>
          <w:insideV w:val="none"/>
        </w:tblBorders>
      </w:tblPr>
      <w:tblGrid>
        <w:gridCol w:w="100"/>
      </w:tblGrid>
      <w:tr>
        <w:tc>
          <w:tcPr>
            <w:shd w:fill="F7EFDD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100"/>
            </w:pPr>
            <w:r>
              <w:rPr>
                <w:b/>
                <w:bCs/>
                <w:color w:val="1B3A6B"/>
                <w:sz w:val="22"/>
                <w:szCs w:val="22"/>
              </w:rPr>
              <w:t xml:space="preserve">🎯  Exemple</w:t>
            </w:r>
          </w:p>
          <w:p>
            <w:pPr>
              <w:spacing w:after="60"/>
              <w:ind w:left="360"/>
            </w:pPr>
            <w:r>
              <w:rPr>
                <w:i/>
                <w:iCs/>
                <w:color w:val="2E5AA8"/>
              </w:rPr>
              <w:t xml:space="preserve">Style français (plat) : I – am – go – ing – to – the – mar – ket.</w:t>
            </w:r>
          </w:p>
          <w:p>
            <w:pPr>
              <w:spacing w:after="60"/>
              <w:ind w:left="360"/>
            </w:pPr>
            <w:r>
              <w:rPr>
                <w:i/>
                <w:iCs/>
                <w:color w:val="2E5AA8"/>
              </w:rPr>
              <w:t xml:space="preserve">Rythme natif : I'm GOing to the MARket.</w:t>
            </w:r>
          </w:p>
        </w:tc>
      </w:tr>
    </w:tbl>
    <w:p>
      <w:pPr>
        <w:spacing w:after="110"/>
      </w:pPr>
      <w:r>
        <w:rPr>
          <w:color w:val="2B2B2B"/>
        </w:rPr>
        <w:t xml:space="preserve">Seuls les mots importants sont accentués.</w:t>
      </w:r>
    </w:p>
    <w:p>
      <w:pPr>
        <w:spacing w:after="110"/>
      </w:pPr>
      <w:r>
        <w:rPr>
          <w:b/>
          <w:bCs/>
          <w:color w:val="2B2B2B"/>
        </w:rPr>
        <w:t xml:space="preserve">Mots de contenu (accentués) : noms, verbes principaux, adjectifs, adverbes.</w:t>
      </w:r>
    </w:p>
    <w:p>
      <w:pPr>
        <w:spacing w:after="110"/>
      </w:pPr>
      <w:r>
        <w:rPr>
          <w:b/>
          <w:bCs/>
          <w:color w:val="2B2B2B"/>
        </w:rPr>
        <w:t xml:space="preserve">Mots de fonction (réduits) : to, of, a, the, for, at, have, can.</w:t>
      </w:r>
    </w:p>
    <w:tbl>
      <w:tblPr>
        <w:tblW w:type="pct" w:w="100%"/>
        <w:tblBorders>
          <w:top w:val="single" w:color="C89B3C" w:sz="4"/>
          <w:left w:val="single" w:color="C89B3C" w:sz="4"/>
          <w:bottom w:val="single" w:color="C89B3C" w:sz="4"/>
          <w:right w:val="single" w:color="C89B3C" w:sz="4"/>
          <w:insideH w:val="none"/>
          <w:insideV w:val="none"/>
        </w:tblBorders>
      </w:tblPr>
      <w:tblGrid>
        <w:gridCol w:w="100"/>
      </w:tblGrid>
      <w:tr>
        <w:tc>
          <w:tcPr>
            <w:shd w:fill="F7EFDD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100"/>
            </w:pPr>
            <w:r>
              <w:rPr>
                <w:b/>
                <w:bCs/>
                <w:color w:val="1B3A6B"/>
                <w:sz w:val="22"/>
                <w:szCs w:val="22"/>
              </w:rPr>
              <w:t xml:space="preserve">🧩  Exercice pratique</w:t>
            </w:r>
          </w:p>
          <w:p>
            <w:pPr>
              <w:spacing w:after="60"/>
              <w:ind w:left="360"/>
            </w:pPr>
            <w:r>
              <w:rPr>
                <w:i/>
                <w:iCs/>
                <w:color w:val="2E5AA8"/>
              </w:rPr>
              <w:t xml:space="preserve">"I was going to the office but I didn't have the time."</w:t>
            </w:r>
          </w:p>
          <w:p>
            <w:pPr>
              <w:spacing w:after="110"/>
            </w:pPr>
            <w:r>
              <w:rPr>
                <w:color w:val="2B2B2B"/>
              </w:rPr>
              <w:t xml:space="preserve">Accentuer seulement : GOing – OFfice – DIDn't – TIME</w:t>
            </w:r>
          </w:p>
        </w:tc>
      </w:tr>
    </w:tbl>
    <w:p>
      <w:pPr>
        <w:pStyle w:val="Heading1"/>
        <w:pBdr>
          <w:bottom w:val="single" w:color="C89B3C" w:sz="10" w:space="4"/>
        </w:pBdr>
        <w:spacing w:after="200" w:before="420"/>
      </w:pPr>
      <w:r>
        <w:rPr>
          <w:b/>
          <w:bCs/>
          <w:color w:val="1B3A6B"/>
          <w:sz w:val="30"/>
          <w:szCs w:val="30"/>
        </w:rPr>
        <w:t xml:space="preserve">Le discours connecté (Connected Speech)</w:t>
      </w:r>
    </w:p>
    <w:p>
      <w:pPr>
        <w:spacing w:after="110"/>
      </w:pPr>
      <w:r>
        <w:rPr>
          <w:color w:val="2B2B2B"/>
        </w:rPr>
        <w:t xml:space="preserve">Le discours connecté regroupe 4 phénomènes principaux.</w:t>
      </w:r>
    </w:p>
    <w:p>
      <w:pPr>
        <w:spacing w:after="90" w:before="180"/>
      </w:pPr>
      <w:r>
        <w:rPr>
          <w:b/>
          <w:bCs/>
          <w:color w:val="1B3A6B"/>
          <w:sz w:val="22"/>
          <w:szCs w:val="22"/>
        </w:rPr>
        <w:t xml:space="preserve">1. Linking (liaison)</w:t>
      </w:r>
    </w:p>
    <w:p>
      <w:pPr>
        <w:spacing w:after="110"/>
      </w:pPr>
      <w:r>
        <w:rPr>
          <w:color w:val="2B2B2B"/>
        </w:rPr>
        <w:t xml:space="preserve">Quand les mots se connectent naturellement.</w:t>
      </w:r>
    </w:p>
    <w:tbl>
      <w:tblPr>
        <w:tblW w:type="pct" w:w="100%"/>
        <w:tblBorders>
          <w:top w:val="single" w:color="C89B3C" w:sz="4"/>
          <w:left w:val="single" w:color="C89B3C" w:sz="4"/>
          <w:bottom w:val="single" w:color="C89B3C" w:sz="4"/>
          <w:right w:val="single" w:color="C89B3C" w:sz="4"/>
          <w:insideH w:val="none"/>
          <w:insideV w:val="none"/>
        </w:tblBorders>
      </w:tblPr>
      <w:tblGrid>
        <w:gridCol w:w="100"/>
      </w:tblGrid>
      <w:tr>
        <w:tc>
          <w:tcPr>
            <w:shd w:fill="F7EFDD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100"/>
            </w:pPr>
            <w:r>
              <w:rPr>
                <w:b/>
                <w:bCs/>
                <w:color w:val="1B3A6B"/>
                <w:sz w:val="22"/>
                <w:szCs w:val="22"/>
              </w:rPr>
              <w:t xml:space="preserve">🔗  Exemples</w:t>
            </w:r>
          </w:p>
          <w:p>
            <w:pPr>
              <w:spacing w:after="60"/>
              <w:ind w:left="360"/>
            </w:pPr>
            <w:r>
              <w:rPr>
                <w:i/>
                <w:iCs/>
                <w:color w:val="2E5AA8"/>
              </w:rPr>
              <w:t xml:space="preserve">Pick it up → Picki-dup · Turn it off → Tur-noff · Call him → Ca-lim</w:t>
            </w:r>
          </w:p>
          <w:p>
            <w:pPr>
              <w:spacing w:after="110"/>
            </w:pPr>
            <w:r>
              <w:rPr>
                <w:i/>
                <w:iCs/>
                <w:color w:val="2B2B2B"/>
              </w:rPr>
              <w:t xml:space="preserve">À pratiquer : Put it on / Take it out / Bring it here / Check it out</w:t>
            </w:r>
          </w:p>
        </w:tc>
      </w:tr>
    </w:tbl>
    <w:p>
      <w:pPr>
        <w:spacing w:after="90" w:before="180"/>
      </w:pPr>
      <w:r>
        <w:rPr>
          <w:b/>
          <w:bCs/>
          <w:color w:val="1B3A6B"/>
          <w:sz w:val="22"/>
          <w:szCs w:val="22"/>
        </w:rPr>
        <w:t xml:space="preserve">2. Intrusion (un son apparaît)</w:t>
      </w:r>
    </w:p>
    <w:tbl>
      <w:tblPr>
        <w:tblW w:type="pct" w:w="100%"/>
        <w:tblBorders>
          <w:top w:val="single" w:color="C89B3C" w:sz="4"/>
          <w:left w:val="single" w:color="C89B3C" w:sz="4"/>
          <w:bottom w:val="single" w:color="C89B3C" w:sz="4"/>
          <w:right w:val="single" w:color="C89B3C" w:sz="4"/>
          <w:insideH w:val="none"/>
          <w:insideV w:val="none"/>
        </w:tblBorders>
      </w:tblPr>
      <w:tblGrid>
        <w:gridCol w:w="100"/>
      </w:tblGrid>
      <w:tr>
        <w:tc>
          <w:tcPr>
            <w:shd w:fill="F7EFDD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100"/>
            </w:pPr>
            <w:r>
              <w:rPr>
                <w:b/>
                <w:bCs/>
                <w:color w:val="1B3A6B"/>
                <w:sz w:val="22"/>
                <w:szCs w:val="22"/>
              </w:rPr>
              <w:t xml:space="preserve">➕  Exemples</w:t>
            </w:r>
          </w:p>
          <w:p>
            <w:pPr>
              <w:spacing w:after="60"/>
              <w:ind w:left="360"/>
            </w:pPr>
            <w:r>
              <w:rPr>
                <w:i/>
                <w:iCs/>
                <w:color w:val="2E5AA8"/>
              </w:rPr>
              <w:t xml:space="preserve">Idea of → idea-r-of · Go on → go-w-on · I agree → I-y-agree</w:t>
            </w:r>
          </w:p>
          <w:p>
            <w:pPr>
              <w:spacing w:after="110"/>
            </w:pPr>
            <w:r>
              <w:rPr>
                <w:i/>
                <w:iCs/>
                <w:color w:val="2B2B2B"/>
              </w:rPr>
              <w:t xml:space="preserve">À pratiquer : Law and order / Media and information / Africa and Europe</w:t>
            </w:r>
          </w:p>
        </w:tc>
      </w:tr>
    </w:tbl>
    <w:p>
      <w:pPr>
        <w:spacing w:after="90" w:before="180"/>
      </w:pPr>
      <w:r>
        <w:rPr>
          <w:b/>
          <w:bCs/>
          <w:color w:val="1B3A6B"/>
          <w:sz w:val="22"/>
          <w:szCs w:val="22"/>
        </w:rPr>
        <w:t xml:space="preserve">3. Elision (un son disparaît)</w:t>
      </w:r>
    </w:p>
    <w:tbl>
      <w:tblPr>
        <w:tblW w:type="pct" w:w="100%"/>
        <w:tblBorders>
          <w:top w:val="single" w:color="C89B3C" w:sz="4"/>
          <w:left w:val="single" w:color="C89B3C" w:sz="4"/>
          <w:bottom w:val="single" w:color="C89B3C" w:sz="4"/>
          <w:right w:val="single" w:color="C89B3C" w:sz="4"/>
          <w:insideH w:val="none"/>
          <w:insideV w:val="none"/>
        </w:tblBorders>
      </w:tblPr>
      <w:tblGrid>
        <w:gridCol w:w="100"/>
      </w:tblGrid>
      <w:tr>
        <w:tc>
          <w:tcPr>
            <w:shd w:fill="F7EFDD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100"/>
            </w:pPr>
            <w:r>
              <w:rPr>
                <w:b/>
                <w:bCs/>
                <w:color w:val="1B3A6B"/>
                <w:sz w:val="22"/>
                <w:szCs w:val="22"/>
              </w:rPr>
              <w:t xml:space="preserve">➖  Exemples</w:t>
            </w:r>
          </w:p>
          <w:p>
            <w:pPr>
              <w:spacing w:after="60"/>
              <w:ind w:left="360"/>
            </w:pPr>
            <w:r>
              <w:rPr>
                <w:i/>
                <w:iCs/>
                <w:color w:val="2E5AA8"/>
              </w:rPr>
              <w:t xml:space="preserve">Next day → Nex day · Friendship → Frenship · Exactly → Egzacly</w:t>
            </w:r>
          </w:p>
          <w:p>
            <w:pPr>
              <w:spacing w:after="110"/>
            </w:pPr>
            <w:r>
              <w:rPr>
                <w:i/>
                <w:iCs/>
                <w:color w:val="2B2B2B"/>
              </w:rPr>
              <w:t xml:space="preserve">À pratiquer : First prize / Best friend / Months</w:t>
            </w:r>
          </w:p>
        </w:tc>
      </w:tr>
    </w:tbl>
    <w:p>
      <w:pPr>
        <w:spacing w:after="90" w:before="180"/>
      </w:pPr>
      <w:r>
        <w:rPr>
          <w:b/>
          <w:bCs/>
          <w:color w:val="1B3A6B"/>
          <w:sz w:val="22"/>
          <w:szCs w:val="22"/>
        </w:rPr>
        <w:t xml:space="preserve">4. Assimilation (un son change)</w:t>
      </w:r>
    </w:p>
    <w:tbl>
      <w:tblPr>
        <w:tblW w:type="pct" w:w="100%"/>
        <w:tblBorders>
          <w:top w:val="single" w:color="C89B3C" w:sz="4"/>
          <w:left w:val="single" w:color="C89B3C" w:sz="4"/>
          <w:bottom w:val="single" w:color="C89B3C" w:sz="4"/>
          <w:right w:val="single" w:color="C89B3C" w:sz="4"/>
          <w:insideH w:val="none"/>
          <w:insideV w:val="none"/>
        </w:tblBorders>
      </w:tblPr>
      <w:tblGrid>
        <w:gridCol w:w="100"/>
      </w:tblGrid>
      <w:tr>
        <w:tc>
          <w:tcPr>
            <w:shd w:fill="F7EFDD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100"/>
            </w:pPr>
            <w:r>
              <w:rPr>
                <w:b/>
                <w:bCs/>
                <w:color w:val="1B3A6B"/>
                <w:sz w:val="22"/>
                <w:szCs w:val="22"/>
              </w:rPr>
              <w:t xml:space="preserve">🔄  Exemples</w:t>
            </w:r>
          </w:p>
          <w:p>
            <w:pPr>
              <w:spacing w:after="60"/>
              <w:ind w:left="360"/>
            </w:pPr>
            <w:r>
              <w:rPr>
                <w:i/>
                <w:iCs/>
                <w:color w:val="2E5AA8"/>
              </w:rPr>
              <w:t xml:space="preserve">Don't you → Doncha · Did you → Didja · Won't you → Woncha</w:t>
            </w:r>
          </w:p>
          <w:p>
            <w:pPr>
              <w:spacing w:after="110"/>
            </w:pPr>
            <w:r>
              <w:rPr>
                <w:i/>
                <w:iCs/>
                <w:color w:val="2B2B2B"/>
              </w:rPr>
              <w:t xml:space="preserve">À pratiquer : Could you help me? / Would you like some? / Did you see that?</w:t>
            </w:r>
          </w:p>
        </w:tc>
      </w:tr>
    </w:tbl>
    <w:p>
      <w:pPr>
        <w:pStyle w:val="Heading1"/>
        <w:pBdr>
          <w:bottom w:val="single" w:color="C89B3C" w:sz="10" w:space="4"/>
        </w:pBdr>
        <w:spacing w:after="200" w:before="420"/>
      </w:pPr>
      <w:r>
        <w:rPr>
          <w:b/>
          <w:bCs/>
          <w:color w:val="1B3A6B"/>
          <w:sz w:val="30"/>
          <w:szCs w:val="30"/>
        </w:rPr>
        <w:t xml:space="preserve">Réductions en conversation réelle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rPr>
          <w:tblHeader/>
        </w:trPr>
        <w:tc>
          <w:tcPr>
            <w:tcW w:type="dxa" w:w="4500"/>
            <w:shd w:fill="1B3A6B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Forme complète</w:t>
            </w:r>
          </w:p>
        </w:tc>
        <w:tc>
          <w:tcPr>
            <w:tcW w:type="dxa" w:w="4500"/>
            <w:shd w:fill="1B3A6B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Réduction naturelle</w:t>
            </w:r>
          </w:p>
        </w:tc>
      </w:tr>
      <w:tr>
        <w:tc>
          <w:tcPr>
            <w:tcW w:type="dxa" w:w="45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I am</w:t>
            </w:r>
          </w:p>
        </w:tc>
        <w:tc>
          <w:tcPr>
            <w:tcW w:type="dxa" w:w="45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I'm</w:t>
            </w:r>
          </w:p>
        </w:tc>
      </w:tr>
      <w:tr>
        <w:tc>
          <w:tcPr>
            <w:tcW w:type="dxa" w:w="45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You are</w:t>
            </w:r>
          </w:p>
        </w:tc>
        <w:tc>
          <w:tcPr>
            <w:tcW w:type="dxa" w:w="45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You're</w:t>
            </w:r>
          </w:p>
        </w:tc>
      </w:tr>
      <w:tr>
        <w:tc>
          <w:tcPr>
            <w:tcW w:type="dxa" w:w="45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He is</w:t>
            </w:r>
          </w:p>
        </w:tc>
        <w:tc>
          <w:tcPr>
            <w:tcW w:type="dxa" w:w="45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He's</w:t>
            </w:r>
          </w:p>
        </w:tc>
      </w:tr>
      <w:tr>
        <w:tc>
          <w:tcPr>
            <w:tcW w:type="dxa" w:w="45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Going to</w:t>
            </w:r>
          </w:p>
        </w:tc>
        <w:tc>
          <w:tcPr>
            <w:tcW w:type="dxa" w:w="45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Gonna</w:t>
            </w:r>
          </w:p>
        </w:tc>
      </w:tr>
      <w:tr>
        <w:tc>
          <w:tcPr>
            <w:tcW w:type="dxa" w:w="45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Want to</w:t>
            </w:r>
          </w:p>
        </w:tc>
        <w:tc>
          <w:tcPr>
            <w:tcW w:type="dxa" w:w="45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Wanna</w:t>
            </w:r>
          </w:p>
        </w:tc>
      </w:tr>
      <w:tr>
        <w:tc>
          <w:tcPr>
            <w:tcW w:type="dxa" w:w="45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Have to</w:t>
            </w:r>
          </w:p>
        </w:tc>
        <w:tc>
          <w:tcPr>
            <w:tcW w:type="dxa" w:w="45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Hafta</w:t>
            </w:r>
          </w:p>
        </w:tc>
      </w:tr>
      <w:tr>
        <w:tc>
          <w:tcPr>
            <w:tcW w:type="dxa" w:w="45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Got to</w:t>
            </w:r>
          </w:p>
        </w:tc>
        <w:tc>
          <w:tcPr>
            <w:tcW w:type="dxa" w:w="45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Gotta</w:t>
            </w:r>
          </w:p>
        </w:tc>
      </w:tr>
      <w:tr>
        <w:tc>
          <w:tcPr>
            <w:tcW w:type="dxa" w:w="45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Let me</w:t>
            </w:r>
          </w:p>
        </w:tc>
        <w:tc>
          <w:tcPr>
            <w:tcW w:type="dxa" w:w="45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Lemme</w:t>
            </w:r>
          </w:p>
        </w:tc>
      </w:tr>
      <w:tr>
        <w:tc>
          <w:tcPr>
            <w:tcW w:type="dxa" w:w="45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Give me</w:t>
            </w:r>
          </w:p>
        </w:tc>
        <w:tc>
          <w:tcPr>
            <w:tcW w:type="dxa" w:w="45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Gimme</w:t>
            </w:r>
          </w:p>
        </w:tc>
      </w:tr>
      <w:tr>
        <w:tc>
          <w:tcPr>
            <w:tcW w:type="dxa" w:w="45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Kind of</w:t>
            </w:r>
          </w:p>
        </w:tc>
        <w:tc>
          <w:tcPr>
            <w:tcW w:type="dxa" w:w="45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Kinda</w:t>
            </w:r>
          </w:p>
        </w:tc>
      </w:tr>
      <w:tr>
        <w:tc>
          <w:tcPr>
            <w:tcW w:type="dxa" w:w="45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Sort of</w:t>
            </w:r>
          </w:p>
        </w:tc>
        <w:tc>
          <w:tcPr>
            <w:tcW w:type="dxa" w:w="45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Sorta</w:t>
            </w:r>
          </w:p>
        </w:tc>
      </w:tr>
      <w:tr>
        <w:tc>
          <w:tcPr>
            <w:tcW w:type="dxa" w:w="45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What are you</w:t>
            </w:r>
          </w:p>
        </w:tc>
        <w:tc>
          <w:tcPr>
            <w:tcW w:type="dxa" w:w="45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Whatcha</w:t>
            </w:r>
          </w:p>
        </w:tc>
      </w:tr>
    </w:tbl>
    <w:p>
      <w:pPr>
        <w:spacing w:after="200"/>
      </w:pPr>
    </w:p>
    <w:tbl>
      <w:tblPr>
        <w:tblW w:type="pct" w:w="100%"/>
        <w:tblBorders>
          <w:top w:val="single" w:color="C89B3C" w:sz="4"/>
          <w:left w:val="single" w:color="C89B3C" w:sz="4"/>
          <w:bottom w:val="single" w:color="C89B3C" w:sz="4"/>
          <w:right w:val="single" w:color="C89B3C" w:sz="4"/>
          <w:insideH w:val="none"/>
          <w:insideV w:val="none"/>
        </w:tblBorders>
      </w:tblPr>
      <w:tblGrid>
        <w:gridCol w:w="100"/>
      </w:tblGrid>
      <w:tr>
        <w:tc>
          <w:tcPr>
            <w:shd w:fill="F7EFDD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100"/>
            </w:pPr>
            <w:r>
              <w:rPr>
                <w:b/>
                <w:bCs/>
                <w:color w:val="1B3A6B"/>
                <w:sz w:val="22"/>
                <w:szCs w:val="22"/>
              </w:rPr>
              <w:t xml:space="preserve">🗣️  Phrases à pratiquer</w:t>
            </w:r>
          </w:p>
          <w:p>
            <w:pPr>
              <w:spacing w:after="60"/>
              <w:ind w:left="360"/>
            </w:pPr>
            <w:r>
              <w:rPr>
                <w:i/>
                <w:iCs/>
                <w:color w:val="2E5AA8"/>
              </w:rPr>
              <w:t xml:space="preserve">I'm gonna call you later. · Whatcha doing tonight? · I kinda like it. · I gotta go now. · Lemme think about it.</w:t>
            </w:r>
          </w:p>
        </w:tc>
      </w:tr>
    </w:tbl>
    <w:tbl>
      <w:tblPr>
        <w:tblW w:type="pct" w:w="100%"/>
        <w:tblBorders>
          <w:top w:val="single" w:color="6FBFA8" w:sz="4"/>
          <w:left w:val="single" w:color="6FBFA8" w:sz="4"/>
          <w:bottom w:val="single" w:color="6FBFA8" w:sz="4"/>
          <w:right w:val="single" w:color="6FBFA8" w:sz="4"/>
          <w:insideH w:val="none"/>
          <w:insideV w:val="none"/>
        </w:tblBorders>
      </w:tblPr>
      <w:tblGrid>
        <w:gridCol w:w="100"/>
      </w:tblGrid>
      <w:tr>
        <w:tc>
          <w:tcPr>
            <w:shd w:fill="EAF6F1" w:color="auto" w:val="clear"/>
            <w:tcMar>
              <w:top w:type="dxa" w:w="130"/>
              <w:left w:type="dxa" w:w="200"/>
              <w:bottom w:type="dxa" w:w="130"/>
              <w:right w:type="dxa" w:w="200"/>
            </w:tcMar>
          </w:tcPr>
          <w:p>
            <w:r>
              <w:rPr>
                <w:i/>
                <w:iCs/>
                <w:color w:val="2B2B2B"/>
              </w:rPr>
              <w:t xml:space="preserve">💡 Jeu de rôle : utilise au moins 4 réductions naturellement dans une courte conversation avec ton coach.</w:t>
            </w:r>
          </w:p>
        </w:tc>
      </w:tr>
    </w:tbl>
    <w:p>
      <w:pPr>
        <w:pStyle w:val="Heading1"/>
        <w:pBdr>
          <w:bottom w:val="single" w:color="C89B3C" w:sz="10" w:space="4"/>
        </w:pBdr>
        <w:spacing w:after="200" w:before="420"/>
      </w:pPr>
      <w:r>
        <w:rPr>
          <w:b/>
          <w:bCs/>
          <w:color w:val="1B3A6B"/>
          <w:sz w:val="30"/>
          <w:szCs w:val="30"/>
        </w:rPr>
        <w:t xml:space="preserve">Accentuation et rythme (le cœur de la fluidité)</w:t>
      </w:r>
    </w:p>
    <w:p>
      <w:pPr>
        <w:spacing w:after="110"/>
      </w:pPr>
      <w:r>
        <w:rPr>
          <w:color w:val="2B2B2B"/>
        </w:rPr>
        <w:t xml:space="preserve">L'anglais sonne comme de la musique. L'accentuation change le sens d'une phrase.</w:t>
      </w:r>
    </w:p>
    <w:tbl>
      <w:tblPr>
        <w:tblW w:type="pct" w:w="100%"/>
        <w:tblBorders>
          <w:top w:val="single" w:color="C89B3C" w:sz="4"/>
          <w:left w:val="single" w:color="C89B3C" w:sz="4"/>
          <w:bottom w:val="single" w:color="C89B3C" w:sz="4"/>
          <w:right w:val="single" w:color="C89B3C" w:sz="4"/>
          <w:insideH w:val="none"/>
          <w:insideV w:val="none"/>
        </w:tblBorders>
      </w:tblPr>
      <w:tblGrid>
        <w:gridCol w:w="100"/>
      </w:tblGrid>
      <w:tr>
        <w:tc>
          <w:tcPr>
            <w:shd w:fill="F7EFDD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100"/>
            </w:pPr>
            <w:r>
              <w:rPr>
                <w:b/>
                <w:bCs/>
                <w:color w:val="1B3A6B"/>
                <w:sz w:val="22"/>
                <w:szCs w:val="22"/>
              </w:rPr>
              <w:t xml:space="preserve">🎵  Exemple — le sens change selon l'accent</w:t>
            </w:r>
          </w:p>
          <w:p>
            <w:pPr>
              <w:spacing w:after="60"/>
              <w:ind w:left="360"/>
            </w:pPr>
            <w:r>
              <w:rPr>
                <w:i/>
                <w:iCs/>
                <w:color w:val="2E5AA8"/>
              </w:rPr>
              <w:t xml:space="preserve">I didn't say he stole the money.</w:t>
            </w:r>
          </w:p>
          <w:p>
            <w:pPr>
              <w:spacing w:after="60"/>
              <w:ind w:left="360"/>
            </w:pPr>
            <w:r>
              <w:rPr>
                <w:i/>
                <w:iCs/>
                <w:color w:val="2E5AA8"/>
              </w:rPr>
              <w:t xml:space="preserve">I DIDN'T say he stole the money. (= je ne l'ai pas dit)</w:t>
            </w:r>
          </w:p>
          <w:p>
            <w:pPr>
              <w:spacing w:after="60"/>
              <w:ind w:left="360"/>
            </w:pPr>
            <w:r>
              <w:rPr>
                <w:i/>
                <w:iCs/>
                <w:color w:val="2E5AA8"/>
              </w:rPr>
              <w:t xml:space="preserve">I didn't say HE stole the money. (= peut-être quelqu'un d'autre)</w:t>
            </w:r>
          </w:p>
        </w:tc>
      </w:tr>
    </w:tbl>
    <w:tbl>
      <w:tblPr>
        <w:tblW w:type="pct" w:w="100%"/>
        <w:tblBorders>
          <w:top w:val="single" w:color="C89B3C" w:sz="4"/>
          <w:left w:val="single" w:color="C89B3C" w:sz="4"/>
          <w:bottom w:val="single" w:color="C89B3C" w:sz="4"/>
          <w:right w:val="single" w:color="C89B3C" w:sz="4"/>
          <w:insideH w:val="none"/>
          <w:insideV w:val="none"/>
        </w:tblBorders>
      </w:tblPr>
      <w:tblGrid>
        <w:gridCol w:w="100"/>
      </w:tblGrid>
      <w:tr>
        <w:tc>
          <w:tcPr>
            <w:shd w:fill="F7EFDD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100"/>
            </w:pPr>
            <w:r>
              <w:rPr>
                <w:b/>
                <w:bCs/>
                <w:color w:val="1B3A6B"/>
                <w:sz w:val="22"/>
                <w:szCs w:val="22"/>
              </w:rPr>
              <w:t xml:space="preserve">🎯  Exercice</w:t>
            </w:r>
          </w:p>
          <w:p>
            <w:pPr>
              <w:spacing w:after="60"/>
              <w:ind w:left="360"/>
            </w:pPr>
            <w:r>
              <w:rPr>
                <w:i/>
                <w:iCs/>
                <w:color w:val="2E5AA8"/>
              </w:rPr>
              <w:t xml:space="preserve">"She was supposed to finish the project yesterday."</w:t>
            </w:r>
          </w:p>
          <w:p>
            <w:pPr>
              <w:spacing w:after="110"/>
            </w:pPr>
            <w:r>
              <w:rPr>
                <w:color w:val="2B2B2B"/>
              </w:rPr>
              <w:t xml:space="preserve">Accentuer seulement : SUPposed – FINish – PROject – YESterday</w:t>
            </w:r>
          </w:p>
        </w:tc>
      </w:tr>
    </w:tbl>
    <w:p>
      <w:pPr>
        <w:pStyle w:val="Heading1"/>
        <w:pBdr>
          <w:bottom w:val="single" w:color="C89B3C" w:sz="10" w:space="4"/>
        </w:pBdr>
        <w:spacing w:after="200" w:before="420"/>
      </w:pPr>
      <w:r>
        <w:rPr>
          <w:b/>
          <w:bCs/>
          <w:color w:val="1B3A6B"/>
          <w:sz w:val="30"/>
          <w:szCs w:val="30"/>
        </w:rPr>
        <w:t xml:space="preserve">Intonation — la mélodie de la voix</w:t>
      </w:r>
    </w:p>
    <w:p>
      <w:pPr>
        <w:spacing w:after="110"/>
      </w:pPr>
      <w:r>
        <w:rPr>
          <w:color w:val="2B2B2B"/>
        </w:rPr>
        <w:t xml:space="preserve">Trois grands schémas :</w:t>
      </w:r>
    </w:p>
    <w:p>
      <w:pPr>
        <w:spacing w:after="60"/>
        <w:ind w:left="431" w:hanging="431"/>
      </w:pPr>
      <w:r>
        <w:rPr>
          <w:b/>
          <w:bCs/>
          <w:color w:val="C89B3C"/>
        </w:rPr>
        <w:t xml:space="preserve">1.  </w:t>
      </w:r>
      <w:r>
        <w:rPr>
          <w:color w:val="2B2B2B"/>
        </w:rPr>
        <w:t xml:space="preserve">Intonation descendante (⬇) — pour les affirmations, questions WH, ordres. Ex : Where are you going? I'm going home.</w:t>
      </w:r>
    </w:p>
    <w:p>
      <w:pPr>
        <w:spacing w:after="60"/>
        <w:ind w:left="431" w:hanging="431"/>
      </w:pPr>
      <w:r>
        <w:rPr>
          <w:b/>
          <w:bCs/>
          <w:color w:val="C89B3C"/>
        </w:rPr>
        <w:t xml:space="preserve">2.  </w:t>
      </w:r>
      <w:r>
        <w:rPr>
          <w:color w:val="2B2B2B"/>
        </w:rPr>
        <w:t xml:space="preserve">Intonation montante (⬆) — pour les questions Oui/Non, la surprise, vérifier. Ex : You're serious? Really?</w:t>
      </w:r>
    </w:p>
    <w:p>
      <w:pPr>
        <w:spacing w:after="60"/>
        <w:ind w:left="431" w:hanging="431"/>
      </w:pPr>
      <w:r>
        <w:rPr>
          <w:b/>
          <w:bCs/>
          <w:color w:val="C89B3C"/>
        </w:rPr>
        <w:t xml:space="preserve">3.  </w:t>
      </w:r>
      <w:r>
        <w:rPr>
          <w:color w:val="2B2B2B"/>
        </w:rPr>
        <w:t xml:space="preserve">Intonation montante-descendante — pour les émotions fortes, la certitude. Ex : That's amazing!</w:t>
      </w:r>
    </w:p>
    <w:tbl>
      <w:tblPr>
        <w:tblW w:type="pct" w:w="100%"/>
        <w:tblBorders>
          <w:top w:val="single" w:color="C89B3C" w:sz="4"/>
          <w:left w:val="single" w:color="C89B3C" w:sz="4"/>
          <w:bottom w:val="single" w:color="C89B3C" w:sz="4"/>
          <w:right w:val="single" w:color="C89B3C" w:sz="4"/>
          <w:insideH w:val="none"/>
          <w:insideV w:val="none"/>
        </w:tblBorders>
      </w:tblPr>
      <w:tblGrid>
        <w:gridCol w:w="100"/>
      </w:tblGrid>
      <w:tr>
        <w:tc>
          <w:tcPr>
            <w:shd w:fill="F7EFDD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100"/>
            </w:pPr>
            <w:r>
              <w:rPr>
                <w:b/>
                <w:bCs/>
                <w:color w:val="1B3A6B"/>
                <w:sz w:val="22"/>
                <w:szCs w:val="22"/>
              </w:rPr>
              <w:t xml:space="preserve">💬  Dialogue à pratiquer (mélodie naturelle)</w:t>
            </w:r>
          </w:p>
          <w:p>
            <w:pPr>
              <w:spacing w:after="60"/>
              <w:ind w:left="360"/>
            </w:pPr>
            <w:r>
              <w:rPr>
                <w:i/>
                <w:iCs/>
                <w:color w:val="2E5AA8"/>
              </w:rPr>
              <w:t xml:space="preserve">A: You finished the report? B: Yeah, I sent it yesterday. A: Already? B: Yeah, I had to.</w:t>
            </w:r>
          </w:p>
        </w:tc>
      </w:tr>
    </w:tbl>
    <w:p>
      <w:pPr>
        <w:pStyle w:val="Heading1"/>
        <w:pBdr>
          <w:bottom w:val="single" w:color="C89B3C" w:sz="10" w:space="4"/>
        </w:pBdr>
        <w:spacing w:after="200" w:before="420"/>
      </w:pPr>
      <w:r>
        <w:rPr>
          <w:b/>
          <w:bCs/>
          <w:color w:val="1B3A6B"/>
          <w:sz w:val="30"/>
          <w:szCs w:val="30"/>
        </w:rPr>
        <w:t xml:space="preserve">Conversation professionnelle réelle et exercices de fluidité</w:t>
      </w:r>
    </w:p>
    <w:tbl>
      <w:tblPr>
        <w:tblW w:type="pct" w:w="100%"/>
        <w:tblBorders>
          <w:top w:val="single" w:color="C89B3C" w:sz="4"/>
          <w:left w:val="single" w:color="C89B3C" w:sz="4"/>
          <w:bottom w:val="single" w:color="C89B3C" w:sz="4"/>
          <w:right w:val="single" w:color="C89B3C" w:sz="4"/>
          <w:insideH w:val="none"/>
          <w:insideV w:val="none"/>
        </w:tblBorders>
      </w:tblPr>
      <w:tblGrid>
        <w:gridCol w:w="100"/>
      </w:tblGrid>
      <w:tr>
        <w:tc>
          <w:tcPr>
            <w:shd w:fill="F7EFDD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100"/>
            </w:pPr>
            <w:r>
              <w:rPr>
                <w:b/>
                <w:bCs/>
                <w:color w:val="1B3A6B"/>
                <w:sz w:val="22"/>
                <w:szCs w:val="22"/>
              </w:rPr>
              <w:t xml:space="preserve">🎤  Situation de travail — à pratiquer</w:t>
            </w:r>
          </w:p>
          <w:p>
            <w:pPr>
              <w:spacing w:after="60"/>
              <w:ind w:left="360"/>
            </w:pPr>
            <w:r>
              <w:rPr>
                <w:i/>
                <w:iCs/>
                <w:color w:val="2E5AA8"/>
              </w:rPr>
              <w:t xml:space="preserve">A: Hey, didja finish the presentation? B: I'm almost done. I gotta add a few slides. A: Cool. Lemme know if you need help. B: Sure, I appreciate it.</w:t>
            </w:r>
          </w:p>
        </w:tc>
      </w:tr>
    </w:tbl>
    <w:p>
      <w:pPr>
        <w:spacing w:after="110"/>
      </w:pPr>
      <w:r>
        <w:rPr>
          <w:color w:val="2B2B2B"/>
        </w:rPr>
        <w:t xml:space="preserve">Consigne : utiliser des réductions, lier les mots, accentuer correctement, garder une intonation naturelle.</w:t>
      </w:r>
    </w:p>
    <w:p>
      <w:pPr>
        <w:spacing w:after="90" w:before="180"/>
      </w:pPr>
      <w:r>
        <w:rPr>
          <w:b/>
          <w:bCs/>
          <w:color w:val="1B3A6B"/>
          <w:sz w:val="22"/>
          <w:szCs w:val="22"/>
        </w:rPr>
        <w:t xml:space="preserve">Exercices de fluidité (drills)</w:t>
      </w:r>
    </w:p>
    <w:p>
      <w:pPr>
        <w:spacing w:after="60"/>
        <w:ind w:left="431" w:hanging="431"/>
      </w:pPr>
      <w:r>
        <w:rPr>
          <w:b/>
          <w:bCs/>
          <w:color w:val="C89B3C"/>
        </w:rPr>
        <w:t xml:space="preserve">1.  </w:t>
      </w:r>
      <w:r>
        <w:rPr>
          <w:color w:val="2B2B2B"/>
        </w:rPr>
        <w:t xml:space="preserve">Shadowing — ton coach lit naturellement, tu répètes immédiatement après.</w:t>
      </w:r>
    </w:p>
    <w:p>
      <w:pPr>
        <w:spacing w:after="60"/>
        <w:ind w:left="431" w:hanging="431"/>
      </w:pPr>
      <w:r>
        <w:rPr>
          <w:b/>
          <w:bCs/>
          <w:color w:val="C89B3C"/>
        </w:rPr>
        <w:t xml:space="preserve">2.  </w:t>
      </w:r>
      <w:r>
        <w:rPr>
          <w:color w:val="2B2B2B"/>
        </w:rPr>
        <w:t xml:space="preserve">30 secondes de parole naturelle — décris ta routine, ton travail, ou ton dernier week-end, avec 5 réductions minimum, sans longue pause.</w:t>
      </w:r>
    </w:p>
    <w:sectPr>
      <w:pgSz w:w="12240" w:h="15840" w:orient="portrait"/>
      <w:pgMar w:top="1000" w:right="1100" w:bottom="10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4cafcf18d19484181ec041f5fc1e5ab24ee8e711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2026-08-27T21:13:39.746Z</dcterms:created>
  <dcterms:modified xsi:type="dcterms:W3CDTF">2026-08-27T21:13:39.746Z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